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jc w:val="center"/>
        <w:tblLayout w:type="fixed"/>
        <w:tblLook w:val="04A0" w:firstRow="1" w:lastRow="0" w:firstColumn="1" w:lastColumn="0" w:noHBand="0" w:noVBand="1"/>
      </w:tblPr>
      <w:tblGrid>
        <w:gridCol w:w="2930"/>
        <w:gridCol w:w="6646"/>
      </w:tblGrid>
      <w:tr w:rsidR="00024070" w:rsidRPr="00F13688" w14:paraId="094BB513" w14:textId="77777777" w:rsidTr="00905BC3">
        <w:trPr>
          <w:trHeight w:val="570"/>
          <w:jc w:val="center"/>
        </w:trPr>
        <w:tc>
          <w:tcPr>
            <w:tcW w:w="9576" w:type="dxa"/>
            <w:gridSpan w:val="2"/>
            <w:tcBorders>
              <w:top w:val="thinThickSmallGap" w:sz="12" w:space="0" w:color="auto"/>
              <w:left w:val="thinThickSmallGap" w:sz="12" w:space="0" w:color="auto"/>
              <w:bottom w:val="single" w:sz="4" w:space="0" w:color="auto"/>
              <w:right w:val="thinThickSmallGap" w:sz="12" w:space="0" w:color="auto"/>
            </w:tcBorders>
            <w:shd w:val="clear" w:color="auto" w:fill="8DB3E2" w:themeFill="text2" w:themeFillTint="66"/>
            <w:noWrap/>
            <w:vAlign w:val="center"/>
          </w:tcPr>
          <w:p w14:paraId="1C231790" w14:textId="77777777" w:rsidR="00024070" w:rsidRPr="00B453A3" w:rsidRDefault="00024070" w:rsidP="00024070">
            <w:pPr>
              <w:spacing w:after="0" w:line="240" w:lineRule="auto"/>
              <w:jc w:val="center"/>
              <w:rPr>
                <w:rFonts w:ascii="Times New Roman" w:eastAsia="Times New Roman" w:hAnsi="Times New Roman" w:cs="Times New Roman"/>
                <w:b/>
                <w:bCs/>
                <w:sz w:val="28"/>
                <w:szCs w:val="28"/>
              </w:rPr>
            </w:pPr>
            <w:r w:rsidRPr="00B453A3">
              <w:rPr>
                <w:rFonts w:ascii="Times New Roman" w:eastAsia="Times New Roman" w:hAnsi="Times New Roman" w:cs="Times New Roman"/>
                <w:b/>
                <w:bCs/>
                <w:sz w:val="28"/>
                <w:szCs w:val="28"/>
              </w:rPr>
              <w:t>DESCRIPTION</w:t>
            </w:r>
          </w:p>
        </w:tc>
      </w:tr>
      <w:tr w:rsidR="00D311B6" w:rsidRPr="00F13688" w14:paraId="74B1C72E" w14:textId="77777777" w:rsidTr="00910B97">
        <w:trPr>
          <w:trHeight w:val="20"/>
          <w:jc w:val="center"/>
        </w:trPr>
        <w:tc>
          <w:tcPr>
            <w:tcW w:w="2930" w:type="dxa"/>
            <w:tcBorders>
              <w:top w:val="thinThickSmallGap" w:sz="12" w:space="0" w:color="auto"/>
              <w:left w:val="thinThickSmallGap" w:sz="12" w:space="0" w:color="auto"/>
              <w:bottom w:val="single" w:sz="4" w:space="0" w:color="auto"/>
              <w:right w:val="single" w:sz="4" w:space="0" w:color="000000"/>
            </w:tcBorders>
            <w:shd w:val="clear" w:color="auto" w:fill="D9D9D9" w:themeFill="background1" w:themeFillShade="D9"/>
            <w:noWrap/>
            <w:vAlign w:val="bottom"/>
            <w:hideMark/>
          </w:tcPr>
          <w:p w14:paraId="386E5180" w14:textId="77777777" w:rsidR="00D311B6" w:rsidRPr="003E1709" w:rsidRDefault="00D311B6" w:rsidP="00A20301">
            <w:pPr>
              <w:spacing w:after="0" w:line="240" w:lineRule="auto"/>
              <w:rPr>
                <w:rFonts w:ascii="Times New Roman" w:eastAsia="Times New Roman" w:hAnsi="Times New Roman" w:cs="Times New Roman"/>
                <w:b/>
                <w:bCs/>
                <w:color w:val="000000"/>
                <w:sz w:val="6"/>
                <w:szCs w:val="6"/>
              </w:rPr>
            </w:pPr>
          </w:p>
          <w:p w14:paraId="7B396CCB" w14:textId="77777777" w:rsidR="00D311B6" w:rsidRDefault="00325A34" w:rsidP="00A20301">
            <w:pPr>
              <w:spacing w:after="0" w:line="240" w:lineRule="auto"/>
              <w:rPr>
                <w:rFonts w:ascii="Times New Roman" w:eastAsia="Times New Roman" w:hAnsi="Times New Roman" w:cs="Times New Roman"/>
                <w:b/>
                <w:bCs/>
                <w:color w:val="000000"/>
              </w:rPr>
            </w:pPr>
            <w:r w:rsidRPr="00325A34">
              <w:rPr>
                <w:rFonts w:ascii="Times New Roman" w:eastAsia="Times New Roman" w:hAnsi="Times New Roman" w:cs="Times New Roman"/>
                <w:b/>
                <w:bCs/>
                <w:smallCaps/>
                <w:color w:val="000000"/>
                <w:sz w:val="24"/>
                <w:szCs w:val="24"/>
              </w:rPr>
              <w:t>Co</w:t>
            </w:r>
            <w:r>
              <w:rPr>
                <w:rFonts w:ascii="Times New Roman" w:eastAsia="Times New Roman" w:hAnsi="Times New Roman" w:cs="Times New Roman"/>
                <w:b/>
                <w:bCs/>
                <w:smallCaps/>
                <w:color w:val="000000"/>
                <w:sz w:val="24"/>
                <w:szCs w:val="24"/>
              </w:rPr>
              <w:t>llege</w:t>
            </w:r>
          </w:p>
          <w:p w14:paraId="650FAB05" w14:textId="77777777" w:rsidR="00D311B6" w:rsidRPr="003E1709" w:rsidRDefault="00D311B6" w:rsidP="00A20301">
            <w:pPr>
              <w:spacing w:after="0" w:line="240" w:lineRule="auto"/>
              <w:rPr>
                <w:rFonts w:ascii="Times New Roman" w:eastAsia="Times New Roman" w:hAnsi="Times New Roman" w:cs="Times New Roman"/>
                <w:b/>
                <w:bCs/>
                <w:color w:val="000000"/>
                <w:sz w:val="6"/>
                <w:szCs w:val="6"/>
              </w:rPr>
            </w:pPr>
          </w:p>
        </w:tc>
        <w:tc>
          <w:tcPr>
            <w:tcW w:w="6646" w:type="dxa"/>
            <w:tcBorders>
              <w:top w:val="thinThickSmallGap" w:sz="12" w:space="0" w:color="auto"/>
              <w:left w:val="nil"/>
              <w:bottom w:val="single" w:sz="4" w:space="0" w:color="auto"/>
              <w:right w:val="thinThickSmallGap" w:sz="12" w:space="0" w:color="auto"/>
            </w:tcBorders>
            <w:shd w:val="clear" w:color="auto" w:fill="auto"/>
            <w:noWrap/>
            <w:vAlign w:val="center"/>
            <w:hideMark/>
          </w:tcPr>
          <w:p w14:paraId="2520C1A6"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r w:rsidRPr="00D5127E">
              <w:rPr>
                <w:rFonts w:ascii="Times New Roman" w:eastAsia="Times New Roman" w:hAnsi="Times New Roman" w:cs="Times New Roman"/>
                <w:bCs/>
                <w:color w:val="000000"/>
                <w:sz w:val="20"/>
                <w:szCs w:val="20"/>
              </w:rPr>
              <w:t> </w:t>
            </w:r>
          </w:p>
        </w:tc>
      </w:tr>
      <w:tr w:rsidR="00D311B6" w:rsidRPr="00F13688" w14:paraId="4CA80F33" w14:textId="77777777" w:rsidTr="00910B97">
        <w:trPr>
          <w:trHeight w:val="20"/>
          <w:jc w:val="center"/>
        </w:trPr>
        <w:tc>
          <w:tcPr>
            <w:tcW w:w="2930" w:type="dxa"/>
            <w:tcBorders>
              <w:top w:val="single" w:sz="4" w:space="0" w:color="auto"/>
              <w:left w:val="thinThickSmallGap" w:sz="12" w:space="0" w:color="auto"/>
              <w:right w:val="nil"/>
            </w:tcBorders>
            <w:shd w:val="clear" w:color="auto" w:fill="D9D9D9" w:themeFill="background1" w:themeFillShade="D9"/>
            <w:noWrap/>
            <w:vAlign w:val="bottom"/>
            <w:hideMark/>
          </w:tcPr>
          <w:p w14:paraId="633333A8" w14:textId="77777777" w:rsidR="00D311B6" w:rsidRPr="003E1709" w:rsidRDefault="00D311B6" w:rsidP="00A20301">
            <w:pPr>
              <w:spacing w:after="0" w:line="240" w:lineRule="auto"/>
              <w:rPr>
                <w:rFonts w:ascii="Times New Roman" w:eastAsia="Times New Roman" w:hAnsi="Times New Roman" w:cs="Times New Roman"/>
                <w:smallCaps/>
                <w:color w:val="000000"/>
                <w:sz w:val="6"/>
                <w:szCs w:val="6"/>
              </w:rPr>
            </w:pPr>
          </w:p>
          <w:p w14:paraId="3E51AF4A" w14:textId="77777777" w:rsidR="00D311B6" w:rsidRPr="003E1709" w:rsidRDefault="00A20301" w:rsidP="00A20301">
            <w:pPr>
              <w:spacing w:after="0" w:line="240" w:lineRule="auto"/>
              <w:rPr>
                <w:rFonts w:ascii="Times New Roman" w:eastAsia="Times New Roman" w:hAnsi="Times New Roman" w:cs="Times New Roman"/>
                <w:smallCaps/>
                <w:color w:val="000000"/>
                <w:sz w:val="6"/>
                <w:szCs w:val="6"/>
              </w:rPr>
            </w:pPr>
            <w:r w:rsidRPr="00325A34">
              <w:rPr>
                <w:rFonts w:ascii="Times New Roman" w:eastAsia="Times New Roman" w:hAnsi="Times New Roman" w:cs="Times New Roman"/>
                <w:b/>
                <w:bCs/>
                <w:smallCaps/>
                <w:color w:val="000000"/>
                <w:sz w:val="24"/>
                <w:szCs w:val="24"/>
              </w:rPr>
              <w:t>Contact</w:t>
            </w:r>
            <w:r>
              <w:rPr>
                <w:rFonts w:ascii="Times New Roman" w:eastAsia="Times New Roman" w:hAnsi="Times New Roman" w:cs="Times New Roman"/>
                <w:b/>
                <w:bCs/>
                <w:smallCaps/>
                <w:color w:val="000000"/>
                <w:sz w:val="24"/>
                <w:szCs w:val="24"/>
              </w:rPr>
              <w:t xml:space="preserve"> </w:t>
            </w:r>
            <w:r w:rsidR="00D5127E">
              <w:rPr>
                <w:rFonts w:ascii="Times New Roman" w:eastAsia="Times New Roman" w:hAnsi="Times New Roman" w:cs="Times New Roman"/>
                <w:b/>
                <w:bCs/>
                <w:smallCaps/>
                <w:color w:val="000000"/>
                <w:sz w:val="24"/>
                <w:szCs w:val="24"/>
              </w:rPr>
              <w:t xml:space="preserve">Information </w:t>
            </w:r>
            <w:r w:rsidR="007942A1">
              <w:rPr>
                <w:rFonts w:ascii="Times New Roman" w:eastAsia="Times New Roman" w:hAnsi="Times New Roman" w:cs="Times New Roman"/>
                <w:b/>
                <w:bCs/>
                <w:smallCaps/>
                <w:color w:val="000000"/>
                <w:sz w:val="24"/>
                <w:szCs w:val="24"/>
              </w:rPr>
              <w:t>(</w:t>
            </w:r>
            <w:r w:rsidR="007942A1">
              <w:rPr>
                <w:rFonts w:ascii="Times New Roman" w:eastAsia="Times New Roman" w:hAnsi="Times New Roman" w:cs="Times New Roman"/>
                <w:bCs/>
                <w:color w:val="000000"/>
                <w:sz w:val="20"/>
                <w:szCs w:val="20"/>
              </w:rPr>
              <w:t>Name, Title, Phone, Email)</w:t>
            </w:r>
          </w:p>
        </w:tc>
        <w:tc>
          <w:tcPr>
            <w:tcW w:w="6646" w:type="dxa"/>
            <w:tcBorders>
              <w:top w:val="single" w:sz="4" w:space="0" w:color="auto"/>
              <w:left w:val="single" w:sz="4" w:space="0" w:color="auto"/>
              <w:right w:val="thinThickSmallGap" w:sz="12" w:space="0" w:color="auto"/>
            </w:tcBorders>
            <w:shd w:val="clear" w:color="auto" w:fill="auto"/>
            <w:noWrap/>
            <w:vAlign w:val="center"/>
            <w:hideMark/>
          </w:tcPr>
          <w:p w14:paraId="5EBE7C01" w14:textId="77777777" w:rsidR="00D311B6" w:rsidRPr="00D5127E" w:rsidRDefault="00D311B6" w:rsidP="00507DAD">
            <w:pPr>
              <w:spacing w:after="0" w:line="240" w:lineRule="auto"/>
              <w:rPr>
                <w:rFonts w:ascii="Times New Roman" w:eastAsia="Times New Roman" w:hAnsi="Times New Roman" w:cs="Times New Roman"/>
                <w:color w:val="000000"/>
                <w:sz w:val="20"/>
                <w:szCs w:val="20"/>
              </w:rPr>
            </w:pPr>
          </w:p>
        </w:tc>
      </w:tr>
      <w:tr w:rsidR="00D311B6" w:rsidRPr="00F13688" w14:paraId="21C6A0BB"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665BF363" w14:textId="77777777" w:rsidR="00D311B6" w:rsidRPr="00325A34" w:rsidRDefault="00A20301" w:rsidP="00A203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mallCaps/>
                <w:color w:val="000000"/>
                <w:sz w:val="24"/>
                <w:szCs w:val="24"/>
              </w:rPr>
              <w:t>Attendee Name/Title</w:t>
            </w:r>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70951153"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p>
        </w:tc>
      </w:tr>
      <w:tr w:rsidR="001257F2" w:rsidRPr="00F13688" w14:paraId="34687F81"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5C10D7E9" w14:textId="77777777" w:rsidR="001257F2" w:rsidRDefault="001257F2" w:rsidP="00A20301">
            <w:pPr>
              <w:spacing w:after="0" w:line="240" w:lineRule="auto"/>
              <w:rPr>
                <w:rFonts w:ascii="Times New Roman" w:eastAsia="Times New Roman" w:hAnsi="Times New Roman" w:cs="Times New Roman"/>
                <w:b/>
                <w:bCs/>
                <w:smallCaps/>
                <w:color w:val="000000"/>
                <w:sz w:val="24"/>
                <w:szCs w:val="24"/>
              </w:rPr>
            </w:pPr>
            <w:proofErr w:type="gramStart"/>
            <w:r w:rsidRPr="00B33CFA">
              <w:rPr>
                <w:rFonts w:ascii="Times New Roman" w:eastAsia="Times New Roman" w:hAnsi="Times New Roman" w:cs="Times New Roman"/>
                <w:b/>
                <w:smallCaps/>
                <w:color w:val="000000"/>
                <w:sz w:val="24"/>
                <w:szCs w:val="24"/>
              </w:rPr>
              <w:t>Amount  Requested</w:t>
            </w:r>
            <w:proofErr w:type="gramEnd"/>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0D37E568" w14:textId="77777777" w:rsidR="001257F2" w:rsidRPr="00D5127E" w:rsidRDefault="001257F2" w:rsidP="00507DAD">
            <w:pPr>
              <w:spacing w:after="0" w:line="240" w:lineRule="auto"/>
              <w:rPr>
                <w:rFonts w:ascii="Times New Roman" w:eastAsia="Times New Roman" w:hAnsi="Times New Roman" w:cs="Times New Roman"/>
                <w:bCs/>
                <w:color w:val="000000"/>
                <w:sz w:val="20"/>
                <w:szCs w:val="20"/>
              </w:rPr>
            </w:pPr>
          </w:p>
        </w:tc>
      </w:tr>
      <w:tr w:rsidR="00D311B6" w:rsidRPr="00F13688" w14:paraId="5C0B9069"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27F03E99" w14:textId="77777777" w:rsidR="001257F2" w:rsidRDefault="00D5127E" w:rsidP="00A203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smallCaps/>
                <w:color w:val="000000"/>
                <w:sz w:val="24"/>
                <w:szCs w:val="24"/>
              </w:rPr>
              <w:t>Reason for travel</w:t>
            </w:r>
            <w:r w:rsidR="00C56CDC">
              <w:rPr>
                <w:rFonts w:ascii="Times New Roman" w:eastAsia="Times New Roman" w:hAnsi="Times New Roman" w:cs="Times New Roman"/>
                <w:b/>
                <w:bCs/>
                <w:color w:val="000000"/>
                <w:sz w:val="24"/>
                <w:szCs w:val="24"/>
              </w:rPr>
              <w:t xml:space="preserve"> </w:t>
            </w:r>
          </w:p>
          <w:p w14:paraId="469E390A" w14:textId="77777777" w:rsidR="00D311B6" w:rsidRPr="00C56CDC" w:rsidRDefault="001257F2" w:rsidP="00A2030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0"/>
                <w:szCs w:val="20"/>
              </w:rPr>
              <w:t xml:space="preserve">Include the </w:t>
            </w:r>
            <w:r w:rsidR="00C56CDC" w:rsidRPr="00325A34">
              <w:rPr>
                <w:rFonts w:ascii="Times New Roman" w:eastAsia="Times New Roman" w:hAnsi="Times New Roman" w:cs="Times New Roman"/>
                <w:bCs/>
                <w:color w:val="000000"/>
                <w:sz w:val="20"/>
                <w:szCs w:val="20"/>
              </w:rPr>
              <w:t>conference/e</w:t>
            </w:r>
            <w:r>
              <w:rPr>
                <w:rFonts w:ascii="Times New Roman" w:eastAsia="Times New Roman" w:hAnsi="Times New Roman" w:cs="Times New Roman"/>
                <w:bCs/>
                <w:color w:val="000000"/>
                <w:sz w:val="20"/>
                <w:szCs w:val="20"/>
              </w:rPr>
              <w:t>vent title, dates, and location.</w:t>
            </w:r>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3EFF1D15"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p>
        </w:tc>
      </w:tr>
      <w:tr w:rsidR="00D311B6" w:rsidRPr="00F13688" w14:paraId="33402DEE"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42AFE78F" w14:textId="77777777" w:rsidR="00D311B6" w:rsidRDefault="00D5127E" w:rsidP="00A203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smallCaps/>
                <w:color w:val="000000"/>
                <w:sz w:val="24"/>
                <w:szCs w:val="24"/>
              </w:rPr>
              <w:t>Conference/Event description</w:t>
            </w:r>
            <w:r w:rsidR="001257F2">
              <w:rPr>
                <w:rFonts w:ascii="Times New Roman" w:eastAsia="Times New Roman" w:hAnsi="Times New Roman" w:cs="Times New Roman"/>
                <w:b/>
                <w:bCs/>
                <w:color w:val="000000"/>
                <w:sz w:val="24"/>
                <w:szCs w:val="24"/>
              </w:rPr>
              <w:t xml:space="preserve"> </w:t>
            </w:r>
          </w:p>
          <w:p w14:paraId="71532380" w14:textId="77777777" w:rsidR="001257F2" w:rsidRPr="001257F2" w:rsidRDefault="001257F2" w:rsidP="00A20301">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description provided</w:t>
            </w:r>
            <w:r w:rsidRPr="001257F2">
              <w:rPr>
                <w:rFonts w:ascii="Times New Roman" w:eastAsia="Times New Roman" w:hAnsi="Times New Roman" w:cs="Times New Roman"/>
                <w:bCs/>
                <w:color w:val="000000"/>
                <w:sz w:val="20"/>
                <w:szCs w:val="20"/>
              </w:rPr>
              <w:t xml:space="preserve"> should be extremely specific and detailed. </w:t>
            </w:r>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1D85DB71"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p>
        </w:tc>
      </w:tr>
      <w:tr w:rsidR="00D311B6" w:rsidRPr="00F13688" w14:paraId="29E1AD34"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402EDFEC" w14:textId="77777777" w:rsidR="00D311B6" w:rsidRDefault="00D5127E" w:rsidP="00A203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smallCaps/>
                <w:color w:val="000000"/>
                <w:sz w:val="24"/>
                <w:szCs w:val="24"/>
              </w:rPr>
              <w:t>Expected Outcome</w:t>
            </w:r>
          </w:p>
          <w:p w14:paraId="6151401E" w14:textId="77777777" w:rsidR="00D311B6" w:rsidRPr="00325A34" w:rsidRDefault="00D311B6" w:rsidP="00A20301">
            <w:pPr>
              <w:spacing w:after="0" w:line="240" w:lineRule="auto"/>
              <w:rPr>
                <w:rFonts w:ascii="Times New Roman" w:eastAsia="Times New Roman" w:hAnsi="Times New Roman" w:cs="Times New Roman"/>
                <w:bCs/>
                <w:color w:val="000000"/>
                <w:sz w:val="20"/>
                <w:szCs w:val="20"/>
              </w:rPr>
            </w:pPr>
            <w:r w:rsidRPr="00325A34">
              <w:rPr>
                <w:rFonts w:ascii="Times New Roman" w:eastAsia="Times New Roman" w:hAnsi="Times New Roman" w:cs="Times New Roman"/>
                <w:bCs/>
                <w:color w:val="000000"/>
                <w:sz w:val="20"/>
                <w:szCs w:val="20"/>
              </w:rPr>
              <w:t>What information or experience will be gained? Will inf</w:t>
            </w:r>
            <w:r w:rsidR="00325A34">
              <w:rPr>
                <w:rFonts w:ascii="Times New Roman" w:eastAsia="Times New Roman" w:hAnsi="Times New Roman" w:cs="Times New Roman"/>
                <w:bCs/>
                <w:color w:val="000000"/>
                <w:sz w:val="20"/>
                <w:szCs w:val="20"/>
              </w:rPr>
              <w:t>ormation be shared upon return?</w:t>
            </w:r>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0515A182"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p>
        </w:tc>
      </w:tr>
      <w:tr w:rsidR="001257F2" w:rsidRPr="00F13688" w14:paraId="52B7BC08" w14:textId="77777777" w:rsidTr="00910B97">
        <w:trPr>
          <w:trHeight w:val="576"/>
          <w:jc w:val="center"/>
        </w:trPr>
        <w:tc>
          <w:tcPr>
            <w:tcW w:w="2930" w:type="dxa"/>
            <w:tcBorders>
              <w:top w:val="single" w:sz="8" w:space="0" w:color="000000"/>
              <w:left w:val="thinThickSmallGap" w:sz="12" w:space="0" w:color="auto"/>
              <w:bottom w:val="thinThickSmallGap" w:sz="12" w:space="0" w:color="000000"/>
              <w:right w:val="single" w:sz="4" w:space="0" w:color="000000"/>
            </w:tcBorders>
            <w:shd w:val="clear" w:color="auto" w:fill="D9D9D9" w:themeFill="background1" w:themeFillShade="D9"/>
            <w:noWrap/>
            <w:vAlign w:val="center"/>
          </w:tcPr>
          <w:p w14:paraId="51BE677A" w14:textId="77777777" w:rsidR="00D5127E" w:rsidRDefault="00D5127E" w:rsidP="001257F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smallCaps/>
                <w:color w:val="000000"/>
                <w:sz w:val="24"/>
                <w:szCs w:val="24"/>
              </w:rPr>
              <w:t>Travel reference in Perkins Plan</w:t>
            </w:r>
            <w:r w:rsidR="001257F2">
              <w:rPr>
                <w:rFonts w:ascii="Times New Roman" w:eastAsia="Times New Roman" w:hAnsi="Times New Roman" w:cs="Times New Roman"/>
                <w:bCs/>
                <w:color w:val="000000"/>
                <w:sz w:val="24"/>
                <w:szCs w:val="24"/>
              </w:rPr>
              <w:t xml:space="preserve"> </w:t>
            </w:r>
          </w:p>
          <w:p w14:paraId="10948705" w14:textId="77777777" w:rsidR="001257F2" w:rsidRPr="00D67DB0" w:rsidRDefault="001257F2" w:rsidP="001257F2">
            <w:pPr>
              <w:spacing w:after="0" w:line="240" w:lineRule="auto"/>
              <w:rPr>
                <w:rFonts w:ascii="Times New Roman" w:eastAsia="Times New Roman" w:hAnsi="Times New Roman" w:cs="Times New Roman"/>
                <w:bCs/>
                <w:color w:val="000000"/>
                <w:sz w:val="24"/>
                <w:szCs w:val="24"/>
              </w:rPr>
            </w:pPr>
            <w:r w:rsidRPr="00325A34">
              <w:rPr>
                <w:rFonts w:ascii="Times New Roman" w:eastAsia="Times New Roman" w:hAnsi="Times New Roman" w:cs="Times New Roman"/>
                <w:bCs/>
                <w:color w:val="000000"/>
                <w:sz w:val="20"/>
                <w:szCs w:val="20"/>
              </w:rPr>
              <w:t>If not referenced, identify where this would appropriately fit. Complete a budget modification if necessary.</w:t>
            </w:r>
          </w:p>
        </w:tc>
        <w:tc>
          <w:tcPr>
            <w:tcW w:w="6646" w:type="dxa"/>
            <w:tcBorders>
              <w:top w:val="single" w:sz="8" w:space="0" w:color="000000"/>
              <w:left w:val="single" w:sz="4" w:space="0" w:color="000000"/>
              <w:bottom w:val="thinThickSmallGap" w:sz="12" w:space="0" w:color="000000"/>
              <w:right w:val="thinThickSmallGap" w:sz="12" w:space="0" w:color="auto"/>
            </w:tcBorders>
            <w:shd w:val="clear" w:color="auto" w:fill="auto"/>
            <w:vAlign w:val="center"/>
          </w:tcPr>
          <w:p w14:paraId="2D0C7A2C" w14:textId="77777777" w:rsidR="001257F2" w:rsidRPr="00D5127E" w:rsidRDefault="001257F2" w:rsidP="001257F2">
            <w:pPr>
              <w:spacing w:after="0" w:line="240" w:lineRule="auto"/>
              <w:rPr>
                <w:rFonts w:ascii="Times New Roman" w:eastAsia="Times New Roman" w:hAnsi="Times New Roman" w:cs="Times New Roman"/>
                <w:bCs/>
                <w:color w:val="000000"/>
                <w:sz w:val="20"/>
                <w:szCs w:val="20"/>
              </w:rPr>
            </w:pPr>
          </w:p>
        </w:tc>
      </w:tr>
    </w:tbl>
    <w:p w14:paraId="6DB554C6" w14:textId="77777777" w:rsidR="00DA6099" w:rsidRDefault="00DA6099" w:rsidP="00D311B6"/>
    <w:p w14:paraId="60820FE9" w14:textId="77777777" w:rsidR="007942A1" w:rsidRDefault="007942A1" w:rsidP="00D311B6"/>
    <w:p w14:paraId="78A951B5" w14:textId="77777777" w:rsidR="007942A1" w:rsidRDefault="007942A1" w:rsidP="00D311B6"/>
    <w:p w14:paraId="12B07475" w14:textId="77777777" w:rsidR="007942A1" w:rsidRDefault="007942A1" w:rsidP="00D311B6"/>
    <w:p w14:paraId="16706EF8" w14:textId="77777777" w:rsidR="007942A1" w:rsidRDefault="007942A1" w:rsidP="00D311B6"/>
    <w:p w14:paraId="725DD7FD" w14:textId="77777777" w:rsidR="007942A1" w:rsidRDefault="007942A1" w:rsidP="00D311B6"/>
    <w:p w14:paraId="1533F215" w14:textId="77777777" w:rsidR="007942A1" w:rsidRDefault="007942A1" w:rsidP="00D311B6"/>
    <w:p w14:paraId="04DADC22" w14:textId="77777777" w:rsidR="007942A1" w:rsidRDefault="007942A1" w:rsidP="00D311B6"/>
    <w:p w14:paraId="5B3BC949" w14:textId="77777777" w:rsidR="007942A1" w:rsidRDefault="007942A1" w:rsidP="00D311B6"/>
    <w:p w14:paraId="1FA5D38F" w14:textId="77777777" w:rsidR="007942A1" w:rsidRDefault="007942A1" w:rsidP="00D311B6"/>
    <w:p w14:paraId="37B1C6DA" w14:textId="77777777" w:rsidR="007942A1" w:rsidRDefault="007942A1" w:rsidP="00D311B6"/>
    <w:tbl>
      <w:tblPr>
        <w:tblW w:w="9600" w:type="dxa"/>
        <w:jc w:val="center"/>
        <w:tblLayout w:type="fixed"/>
        <w:tblLook w:val="04A0" w:firstRow="1" w:lastRow="0" w:firstColumn="1" w:lastColumn="0" w:noHBand="0" w:noVBand="1"/>
      </w:tblPr>
      <w:tblGrid>
        <w:gridCol w:w="2808"/>
        <w:gridCol w:w="1800"/>
        <w:gridCol w:w="4992"/>
      </w:tblGrid>
      <w:tr w:rsidR="00905BC3" w:rsidRPr="00F13688" w14:paraId="6FEFB3C0" w14:textId="77777777" w:rsidTr="002A20FA">
        <w:trPr>
          <w:trHeight w:val="576"/>
          <w:jc w:val="center"/>
        </w:trPr>
        <w:tc>
          <w:tcPr>
            <w:tcW w:w="9600" w:type="dxa"/>
            <w:gridSpan w:val="3"/>
            <w:tcBorders>
              <w:top w:val="thinThickSmallGap" w:sz="12" w:space="0" w:color="auto"/>
              <w:left w:val="thinThickSmallGap" w:sz="12" w:space="0" w:color="auto"/>
              <w:right w:val="thinThickSmallGap" w:sz="12" w:space="0" w:color="auto"/>
            </w:tcBorders>
            <w:shd w:val="clear" w:color="auto" w:fill="8DB3E2" w:themeFill="text2" w:themeFillTint="66"/>
            <w:noWrap/>
            <w:vAlign w:val="center"/>
            <w:hideMark/>
          </w:tcPr>
          <w:p w14:paraId="3A2671FC" w14:textId="77777777" w:rsidR="00905BC3" w:rsidRPr="00B453A3" w:rsidRDefault="00905BC3" w:rsidP="002A20FA">
            <w:pPr>
              <w:spacing w:after="0" w:line="240" w:lineRule="auto"/>
              <w:contextualSpacing/>
              <w:jc w:val="center"/>
              <w:rPr>
                <w:rFonts w:ascii="Times New Roman" w:eastAsia="Times New Roman" w:hAnsi="Times New Roman" w:cs="Times New Roman"/>
                <w:b/>
                <w:bCs/>
                <w:sz w:val="6"/>
                <w:szCs w:val="6"/>
              </w:rPr>
            </w:pPr>
            <w:r w:rsidRPr="00B453A3">
              <w:lastRenderedPageBreak/>
              <w:br w:type="page"/>
            </w:r>
            <w:r w:rsidRPr="00B453A3">
              <w:rPr>
                <w:rFonts w:ascii="Times New Roman" w:eastAsia="Times New Roman" w:hAnsi="Times New Roman" w:cs="Times New Roman"/>
                <w:b/>
                <w:bCs/>
                <w:sz w:val="28"/>
                <w:szCs w:val="28"/>
              </w:rPr>
              <w:t>BUDGET</w:t>
            </w:r>
          </w:p>
        </w:tc>
      </w:tr>
      <w:tr w:rsidR="00905BC3" w:rsidRPr="00F13688" w14:paraId="613BD189" w14:textId="77777777" w:rsidTr="002A20FA">
        <w:trPr>
          <w:trHeight w:val="432"/>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D9D9D9" w:themeFill="background1" w:themeFillShade="D9"/>
            <w:noWrap/>
            <w:vAlign w:val="bottom"/>
            <w:hideMark/>
          </w:tcPr>
          <w:p w14:paraId="59CFB978" w14:textId="77777777" w:rsidR="00905BC3" w:rsidRPr="00D974AD" w:rsidRDefault="00905BC3" w:rsidP="00910B97">
            <w:pPr>
              <w:spacing w:after="0" w:line="240" w:lineRule="auto"/>
              <w:jc w:val="center"/>
              <w:rPr>
                <w:rFonts w:ascii="Times New Roman" w:eastAsia="Times New Roman" w:hAnsi="Times New Roman" w:cs="Times New Roman"/>
                <w:b/>
                <w:caps/>
                <w:color w:val="000000"/>
              </w:rPr>
            </w:pPr>
            <w:r w:rsidRPr="00D974AD">
              <w:rPr>
                <w:rFonts w:ascii="Times New Roman" w:eastAsia="Times New Roman" w:hAnsi="Times New Roman" w:cs="Times New Roman"/>
                <w:b/>
                <w:caps/>
                <w:color w:val="000000"/>
              </w:rPr>
              <w:t>Budget Category</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0B2004" w14:textId="77777777" w:rsidR="00905BC3" w:rsidRPr="00D974AD" w:rsidRDefault="00905BC3" w:rsidP="00910B97">
            <w:pPr>
              <w:spacing w:after="0" w:line="240" w:lineRule="auto"/>
              <w:jc w:val="center"/>
              <w:rPr>
                <w:rFonts w:ascii="Times New Roman" w:eastAsia="Times New Roman" w:hAnsi="Times New Roman" w:cs="Times New Roman"/>
                <w:b/>
                <w:caps/>
                <w:color w:val="000000"/>
              </w:rPr>
            </w:pPr>
            <w:r w:rsidRPr="00D974AD">
              <w:rPr>
                <w:rFonts w:ascii="Times New Roman" w:eastAsia="Times New Roman" w:hAnsi="Times New Roman" w:cs="Times New Roman"/>
                <w:b/>
                <w:caps/>
                <w:color w:val="000000"/>
              </w:rPr>
              <w:t>Amount</w:t>
            </w:r>
          </w:p>
        </w:tc>
        <w:tc>
          <w:tcPr>
            <w:tcW w:w="4992" w:type="dxa"/>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bottom"/>
          </w:tcPr>
          <w:p w14:paraId="72D7F0BF" w14:textId="77777777" w:rsidR="00905BC3" w:rsidRPr="00D974AD" w:rsidRDefault="00905BC3" w:rsidP="00910B97">
            <w:pPr>
              <w:spacing w:after="0" w:line="240" w:lineRule="auto"/>
              <w:jc w:val="center"/>
              <w:rPr>
                <w:rFonts w:ascii="Times New Roman" w:eastAsia="Times New Roman" w:hAnsi="Times New Roman" w:cs="Times New Roman"/>
                <w:b/>
                <w:caps/>
                <w:color w:val="000000"/>
              </w:rPr>
            </w:pPr>
            <w:r w:rsidRPr="00D974AD">
              <w:rPr>
                <w:rFonts w:ascii="Times New Roman" w:eastAsia="Times New Roman" w:hAnsi="Times New Roman" w:cs="Times New Roman"/>
                <w:b/>
                <w:caps/>
                <w:color w:val="000000"/>
              </w:rPr>
              <w:t>Description</w:t>
            </w:r>
          </w:p>
        </w:tc>
      </w:tr>
      <w:tr w:rsidR="00905BC3" w:rsidRPr="00F13688" w14:paraId="28B0B9C6" w14:textId="77777777" w:rsidTr="002A20FA">
        <w:trPr>
          <w:trHeight w:val="863"/>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14:paraId="4EE2623D"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Travel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FA675"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6801D0B6"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44CDBE0E" w14:textId="77777777" w:rsidTr="002A20FA">
        <w:trPr>
          <w:trHeight w:val="872"/>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14:paraId="1ED3AABD"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Conference Rate/ Event Fee</w:t>
            </w:r>
            <w:r w:rsidRPr="00F3642D">
              <w:rPr>
                <w:rFonts w:ascii="Times New Roman" w:eastAsia="Times New Roman" w:hAnsi="Times New Roman" w:cs="Times New Roman"/>
                <w:smallCaps/>
                <w:color w:val="000000"/>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9C4EA"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5E141DF2"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6856BD05" w14:textId="77777777" w:rsidTr="002A20FA">
        <w:trPr>
          <w:trHeight w:val="818"/>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14:paraId="24010391"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Lodging</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9B67"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5740B46E"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2907A701" w14:textId="77777777" w:rsidTr="002A20FA">
        <w:trPr>
          <w:trHeight w:val="782"/>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tcPr>
          <w:p w14:paraId="629E5995"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Per Diem</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F9120"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6ECF7D52"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4627573A" w14:textId="77777777" w:rsidTr="002A20FA">
        <w:trPr>
          <w:trHeight w:val="818"/>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14:paraId="259EA0B7"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Other</w:t>
            </w:r>
            <w:r w:rsidRPr="00F3642D">
              <w:rPr>
                <w:rFonts w:ascii="Times New Roman" w:eastAsia="Times New Roman" w:hAnsi="Times New Roman" w:cs="Times New Roman"/>
                <w:smallCaps/>
                <w:color w:val="000000"/>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84DAB"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75187402"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02DF9AEB" w14:textId="77777777" w:rsidTr="002A20FA">
        <w:trPr>
          <w:trHeight w:val="432"/>
          <w:jc w:val="center"/>
        </w:trPr>
        <w:tc>
          <w:tcPr>
            <w:tcW w:w="2808" w:type="dxa"/>
            <w:tcBorders>
              <w:top w:val="single" w:sz="4" w:space="0" w:color="auto"/>
              <w:left w:val="thinThickSmallGap" w:sz="12" w:space="0" w:color="auto"/>
              <w:bottom w:val="thinThickSmallGap" w:sz="12" w:space="0" w:color="auto"/>
              <w:right w:val="single" w:sz="4" w:space="0" w:color="auto"/>
            </w:tcBorders>
            <w:shd w:val="clear" w:color="auto" w:fill="auto"/>
            <w:noWrap/>
            <w:vAlign w:val="bottom"/>
            <w:hideMark/>
          </w:tcPr>
          <w:p w14:paraId="6E4A387D" w14:textId="77777777" w:rsidR="00905BC3" w:rsidRPr="006D3751" w:rsidRDefault="00905BC3" w:rsidP="002A20FA">
            <w:pPr>
              <w:spacing w:after="0" w:line="240" w:lineRule="auto"/>
              <w:rPr>
                <w:rFonts w:ascii="Times New Roman" w:eastAsia="Times New Roman" w:hAnsi="Times New Roman" w:cs="Times New Roman"/>
                <w:b/>
                <w:color w:val="000000"/>
                <w:sz w:val="24"/>
                <w:szCs w:val="24"/>
              </w:rPr>
            </w:pPr>
            <w:r w:rsidRPr="006D3751">
              <w:rPr>
                <w:rFonts w:ascii="Times New Roman" w:eastAsia="Times New Roman" w:hAnsi="Times New Roman" w:cs="Times New Roman"/>
                <w:b/>
                <w:color w:val="000000"/>
                <w:sz w:val="24"/>
                <w:szCs w:val="24"/>
              </w:rPr>
              <w:t>TOTAL</w:t>
            </w:r>
          </w:p>
        </w:tc>
        <w:tc>
          <w:tcPr>
            <w:tcW w:w="1800" w:type="dxa"/>
            <w:tcBorders>
              <w:top w:val="single" w:sz="4" w:space="0" w:color="auto"/>
              <w:left w:val="single" w:sz="4" w:space="0" w:color="auto"/>
              <w:bottom w:val="thinThickSmallGap" w:sz="12" w:space="0" w:color="auto"/>
              <w:right w:val="single" w:sz="4" w:space="0" w:color="auto"/>
            </w:tcBorders>
            <w:shd w:val="clear" w:color="auto" w:fill="auto"/>
            <w:vAlign w:val="center"/>
          </w:tcPr>
          <w:p w14:paraId="30660D3F" w14:textId="77777777" w:rsidR="00905BC3" w:rsidRDefault="00905BC3" w:rsidP="002A20FA">
            <w:pPr>
              <w:spacing w:after="0" w:line="240" w:lineRule="auto"/>
              <w:jc w:val="center"/>
              <w:rPr>
                <w:rFonts w:ascii="Times New Roman" w:eastAsia="Times New Roman" w:hAnsi="Times New Roman" w:cs="Times New Roman"/>
                <w:color w:val="000000"/>
              </w:rPr>
            </w:pPr>
          </w:p>
          <w:p w14:paraId="5616EAD9" w14:textId="77777777" w:rsidR="00905BC3" w:rsidRDefault="00905BC3" w:rsidP="002A20FA">
            <w:pPr>
              <w:spacing w:after="0" w:line="240" w:lineRule="auto"/>
              <w:jc w:val="center"/>
              <w:rPr>
                <w:rFonts w:ascii="Times New Roman" w:eastAsia="Times New Roman" w:hAnsi="Times New Roman" w:cs="Times New Roman"/>
                <w:color w:val="000000"/>
              </w:rPr>
            </w:pPr>
          </w:p>
          <w:p w14:paraId="483C732E"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thinThickSmallGap" w:sz="12" w:space="0" w:color="auto"/>
              <w:right w:val="thinThickSmallGap" w:sz="12" w:space="0" w:color="auto"/>
            </w:tcBorders>
            <w:shd w:val="thinDiagCross" w:color="auto" w:fill="auto"/>
            <w:vAlign w:val="bottom"/>
          </w:tcPr>
          <w:p w14:paraId="521B7836" w14:textId="77777777" w:rsidR="00905BC3" w:rsidRPr="00794378" w:rsidRDefault="00905BC3" w:rsidP="002A20FA">
            <w:pPr>
              <w:spacing w:after="0" w:line="240" w:lineRule="auto"/>
              <w:jc w:val="right"/>
              <w:rPr>
                <w:rFonts w:ascii="Times New Roman" w:eastAsia="Times New Roman" w:hAnsi="Times New Roman" w:cs="Times New Roman"/>
                <w:color w:val="000000"/>
              </w:rPr>
            </w:pPr>
          </w:p>
        </w:tc>
      </w:tr>
    </w:tbl>
    <w:p w14:paraId="5F08EF37" w14:textId="69290BBD" w:rsidR="00AF1885" w:rsidRDefault="00910B97" w:rsidP="00905BC3">
      <w:pPr>
        <w:pBdr>
          <w:top w:val="thinThickSmallGap" w:sz="12" w:space="1" w:color="auto"/>
          <w:left w:val="thinThickSmallGap" w:sz="12" w:space="4" w:color="auto"/>
          <w:bottom w:val="thickThinSmallGap" w:sz="12" w:space="1" w:color="auto"/>
          <w:right w:val="thickThinSmallGap" w:sz="12" w:space="4" w:color="auto"/>
        </w:pBdr>
        <w:jc w:val="both"/>
        <w:rPr>
          <w:rFonts w:ascii="Times New Roman" w:hAnsi="Times New Roman" w:cs="Times New Roman"/>
          <w:i/>
          <w:iCs/>
          <w:sz w:val="20"/>
          <w:szCs w:val="20"/>
        </w:rPr>
      </w:pPr>
      <w:r>
        <w:rPr>
          <w:rFonts w:ascii="Times New Roman" w:hAnsi="Times New Roman" w:cs="Times New Roman"/>
          <w:b/>
          <w:bCs/>
          <w:sz w:val="20"/>
          <w:szCs w:val="20"/>
        </w:rPr>
        <w:t>BUDGET MODIFICATIONS:</w:t>
      </w:r>
      <w:r w:rsidR="00905BC3" w:rsidRPr="007942A1">
        <w:rPr>
          <w:rFonts w:ascii="Times New Roman" w:hAnsi="Times New Roman" w:cs="Times New Roman"/>
          <w:b/>
          <w:bCs/>
          <w:sz w:val="20"/>
          <w:szCs w:val="20"/>
        </w:rPr>
        <w:t xml:space="preserve"> </w:t>
      </w:r>
      <w:r w:rsidR="00E67D7E" w:rsidRPr="00E67D7E">
        <w:rPr>
          <w:rFonts w:ascii="Times New Roman" w:hAnsi="Times New Roman"/>
          <w:sz w:val="20"/>
          <w:szCs w:val="20"/>
        </w:rPr>
        <w:t xml:space="preserve">Grantees are allowed to make modifications up to ten percent (10%) or $1,000 (whichever is higher) of any specific line, prior to seeking approval. </w:t>
      </w:r>
      <w:r w:rsidR="00E67D7E" w:rsidRPr="00910B97">
        <w:rPr>
          <w:rFonts w:ascii="Times New Roman" w:hAnsi="Times New Roman"/>
          <w:b/>
          <w:sz w:val="20"/>
          <w:szCs w:val="20"/>
        </w:rPr>
        <w:t>Modifications that are greater than ten percent (10%) or $1,000 (whichever is higher) of any specific line OR require a major change in scope, require the submission of a budget modification request.</w:t>
      </w:r>
      <w:r w:rsidR="00905BC3" w:rsidRPr="007942A1">
        <w:rPr>
          <w:rFonts w:ascii="Times New Roman" w:hAnsi="Times New Roman"/>
          <w:sz w:val="20"/>
          <w:szCs w:val="20"/>
        </w:rPr>
        <w:t xml:space="preserve"> </w:t>
      </w:r>
      <w:r w:rsidR="00905BC3" w:rsidRPr="007942A1">
        <w:rPr>
          <w:rFonts w:ascii="Times New Roman" w:hAnsi="Times New Roman" w:cs="Times New Roman"/>
          <w:i/>
          <w:iCs/>
          <w:sz w:val="20"/>
          <w:szCs w:val="20"/>
        </w:rPr>
        <w:t>All</w:t>
      </w:r>
      <w:r w:rsidR="0021103B">
        <w:rPr>
          <w:rFonts w:ascii="Times New Roman" w:hAnsi="Times New Roman" w:cs="Times New Roman"/>
          <w:i/>
          <w:iCs/>
          <w:sz w:val="20"/>
          <w:szCs w:val="20"/>
        </w:rPr>
        <w:t xml:space="preserve"> </w:t>
      </w:r>
      <w:r w:rsidR="00905BC3" w:rsidRPr="007942A1">
        <w:rPr>
          <w:rFonts w:ascii="Times New Roman" w:hAnsi="Times New Roman" w:cs="Times New Roman"/>
          <w:i/>
          <w:iCs/>
          <w:sz w:val="20"/>
          <w:szCs w:val="20"/>
        </w:rPr>
        <w:t>budget modification</w:t>
      </w:r>
      <w:r w:rsidR="0021103B">
        <w:rPr>
          <w:rFonts w:ascii="Times New Roman" w:hAnsi="Times New Roman" w:cs="Times New Roman"/>
          <w:i/>
          <w:iCs/>
          <w:sz w:val="20"/>
          <w:szCs w:val="20"/>
        </w:rPr>
        <w:t xml:space="preserve"> request</w:t>
      </w:r>
      <w:r w:rsidR="00905BC3" w:rsidRPr="007942A1">
        <w:rPr>
          <w:rFonts w:ascii="Times New Roman" w:hAnsi="Times New Roman" w:cs="Times New Roman"/>
          <w:i/>
          <w:iCs/>
          <w:sz w:val="20"/>
          <w:szCs w:val="20"/>
        </w:rPr>
        <w:t xml:space="preserve">s </w:t>
      </w:r>
      <w:r w:rsidR="00876E42">
        <w:rPr>
          <w:rFonts w:ascii="Times New Roman" w:hAnsi="Times New Roman" w:cs="Times New Roman"/>
          <w:i/>
          <w:iCs/>
          <w:sz w:val="20"/>
          <w:szCs w:val="20"/>
        </w:rPr>
        <w:t xml:space="preserve">must be submitted </w:t>
      </w:r>
      <w:proofErr w:type="gramStart"/>
      <w:r w:rsidR="00876E42">
        <w:rPr>
          <w:rFonts w:ascii="Times New Roman" w:hAnsi="Times New Roman" w:cs="Times New Roman"/>
          <w:i/>
          <w:iCs/>
          <w:sz w:val="20"/>
          <w:szCs w:val="20"/>
        </w:rPr>
        <w:t>in</w:t>
      </w:r>
      <w:proofErr w:type="gramEnd"/>
      <w:r w:rsidR="00876E42">
        <w:rPr>
          <w:rFonts w:ascii="Times New Roman" w:hAnsi="Times New Roman" w:cs="Times New Roman"/>
          <w:i/>
          <w:iCs/>
          <w:sz w:val="20"/>
          <w:szCs w:val="20"/>
        </w:rPr>
        <w:t xml:space="preserve"> AmpliFund.</w:t>
      </w:r>
    </w:p>
    <w:p w14:paraId="55343B43" w14:textId="77777777" w:rsidR="00905BC3" w:rsidRPr="00B71484" w:rsidRDefault="00905BC3" w:rsidP="00905BC3">
      <w:pPr>
        <w:pBdr>
          <w:top w:val="single" w:sz="4" w:space="1" w:color="auto"/>
          <w:left w:val="thinThickSmallGap" w:sz="12" w:space="4" w:color="auto"/>
          <w:bottom w:val="thickThinSmallGap" w:sz="12" w:space="1" w:color="auto"/>
          <w:right w:val="thickThinSmallGap" w:sz="12" w:space="4" w:color="auto"/>
        </w:pBdr>
        <w:shd w:val="clear" w:color="auto" w:fill="F2F2F2" w:themeFill="background1" w:themeFillShade="F2"/>
        <w:jc w:val="both"/>
        <w:rPr>
          <w:rFonts w:ascii="Times New Roman" w:hAnsi="Times New Roman" w:cs="Times New Roman"/>
          <w:b/>
          <w:sz w:val="20"/>
          <w:szCs w:val="20"/>
        </w:rPr>
      </w:pPr>
      <w:r w:rsidRPr="00B71484">
        <w:rPr>
          <w:rFonts w:ascii="Times New Roman" w:eastAsia="Calibri" w:hAnsi="Times New Roman" w:cs="Times New Roman"/>
          <w:color w:val="000000"/>
          <w:sz w:val="20"/>
          <w:szCs w:val="20"/>
        </w:rPr>
        <w:t>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or otherwise. (2 C.F.R. 200.415)</w:t>
      </w:r>
    </w:p>
    <w:p w14:paraId="4FD26922" w14:textId="77777777" w:rsidR="007942A1" w:rsidRDefault="007942A1" w:rsidP="00D311B6"/>
    <w:p w14:paraId="5618177D" w14:textId="77777777" w:rsidR="007942A1" w:rsidRDefault="007942A1" w:rsidP="00D311B6"/>
    <w:p w14:paraId="754A03F4" w14:textId="77777777" w:rsidR="007942A1" w:rsidRDefault="007942A1" w:rsidP="00D311B6"/>
    <w:p w14:paraId="338696E9" w14:textId="77777777" w:rsidR="007942A1" w:rsidRDefault="007942A1" w:rsidP="00D311B6"/>
    <w:p w14:paraId="1A23333B" w14:textId="77777777" w:rsidR="008345C2" w:rsidRDefault="008345C2" w:rsidP="00D311B6"/>
    <w:p w14:paraId="4D583871" w14:textId="77777777" w:rsidR="007942A1" w:rsidRDefault="007942A1" w:rsidP="00D311B6"/>
    <w:p w14:paraId="4C7A320C" w14:textId="77777777" w:rsidR="007942A1" w:rsidRDefault="007942A1" w:rsidP="00D311B6"/>
    <w:p w14:paraId="06DEDEE3" w14:textId="77777777" w:rsidR="00DA227C" w:rsidRPr="00B453A3" w:rsidRDefault="00DA227C" w:rsidP="00B453A3">
      <w:pPr>
        <w:pBdr>
          <w:top w:val="thinThickSmallGap" w:sz="12" w:space="1" w:color="auto"/>
          <w:left w:val="thinThickSmallGap" w:sz="12" w:space="4" w:color="auto"/>
          <w:bottom w:val="thinThickSmallGap" w:sz="12" w:space="1" w:color="auto"/>
          <w:right w:val="thinThickSmallGap" w:sz="12" w:space="4" w:color="auto"/>
          <w:between w:val="thinThickSmallGap" w:sz="12" w:space="1" w:color="auto"/>
          <w:bar w:val="thinThickSmallGap" w:sz="12" w:color="auto"/>
        </w:pBdr>
        <w:shd w:val="clear" w:color="auto" w:fill="D9D9D9" w:themeFill="background1" w:themeFillShade="D9"/>
        <w:rPr>
          <w:rFonts w:ascii="Times New Roman" w:hAnsi="Times New Roman" w:cs="Times New Roman"/>
          <w:b/>
          <w:sz w:val="32"/>
          <w:szCs w:val="32"/>
        </w:rPr>
      </w:pPr>
      <w:r w:rsidRPr="00B453A3">
        <w:rPr>
          <w:rFonts w:ascii="Times New Roman" w:hAnsi="Times New Roman" w:cs="Times New Roman"/>
          <w:b/>
          <w:sz w:val="32"/>
          <w:szCs w:val="32"/>
        </w:rPr>
        <w:lastRenderedPageBreak/>
        <w:t>Federal Travel Regulations</w:t>
      </w:r>
    </w:p>
    <w:p w14:paraId="2F196CDA" w14:textId="77777777" w:rsidR="00DA227C" w:rsidRPr="00B453A3" w:rsidRDefault="00DA227C" w:rsidP="00B453A3">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i/>
          <w:sz w:val="24"/>
          <w:szCs w:val="24"/>
        </w:rPr>
      </w:pPr>
      <w:r w:rsidRPr="00B453A3">
        <w:rPr>
          <w:rFonts w:ascii="Times New Roman" w:hAnsi="Times New Roman" w:cs="Times New Roman"/>
          <w:i/>
          <w:sz w:val="24"/>
          <w:szCs w:val="24"/>
        </w:rPr>
        <w:t>Travel costs must adhere to the following</w:t>
      </w:r>
      <w:r w:rsidR="00B453A3" w:rsidRPr="00B453A3">
        <w:rPr>
          <w:rFonts w:ascii="Times New Roman" w:hAnsi="Times New Roman" w:cs="Times New Roman"/>
          <w:i/>
          <w:sz w:val="24"/>
          <w:szCs w:val="24"/>
        </w:rPr>
        <w:t xml:space="preserve"> Education Department General Administrative Regulations (EDGAR) </w:t>
      </w:r>
      <w:r w:rsidRPr="00B453A3">
        <w:rPr>
          <w:rFonts w:ascii="Times New Roman" w:hAnsi="Times New Roman" w:cs="Times New Roman"/>
          <w:i/>
          <w:sz w:val="24"/>
          <w:szCs w:val="24"/>
        </w:rPr>
        <w:t>regulat</w:t>
      </w:r>
      <w:r w:rsidR="00B453A3" w:rsidRPr="00B453A3">
        <w:rPr>
          <w:rFonts w:ascii="Times New Roman" w:hAnsi="Times New Roman" w:cs="Times New Roman"/>
          <w:i/>
          <w:sz w:val="24"/>
          <w:szCs w:val="24"/>
        </w:rPr>
        <w:t>ions:</w:t>
      </w:r>
    </w:p>
    <w:p w14:paraId="7D71BE7C" w14:textId="0D185C48" w:rsidR="00DA227C" w:rsidRPr="00DA227C" w:rsidRDefault="00B453A3"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b/>
          <w:bCs/>
        </w:rPr>
      </w:pPr>
      <w:r w:rsidRPr="00B453A3">
        <w:rPr>
          <w:rFonts w:ascii="Times New Roman" w:hAnsi="Times New Roman" w:cs="Times New Roman"/>
          <w:b/>
          <w:bCs/>
          <w:sz w:val="28"/>
          <w:szCs w:val="28"/>
          <w:u w:val="single"/>
        </w:rPr>
        <w:t>§200.47</w:t>
      </w:r>
      <w:r w:rsidR="008345C2">
        <w:rPr>
          <w:rFonts w:ascii="Times New Roman" w:hAnsi="Times New Roman" w:cs="Times New Roman"/>
          <w:b/>
          <w:bCs/>
          <w:sz w:val="28"/>
          <w:szCs w:val="28"/>
          <w:u w:val="single"/>
        </w:rPr>
        <w:t>5</w:t>
      </w:r>
      <w:r w:rsidRPr="00B453A3">
        <w:rPr>
          <w:rFonts w:ascii="Times New Roman" w:hAnsi="Times New Roman" w:cs="Times New Roman"/>
          <w:b/>
          <w:bCs/>
          <w:sz w:val="28"/>
          <w:szCs w:val="28"/>
          <w:u w:val="single"/>
        </w:rPr>
        <w:t> </w:t>
      </w:r>
      <w:r w:rsidR="00DA227C" w:rsidRPr="00B453A3">
        <w:rPr>
          <w:rFonts w:ascii="Times New Roman" w:hAnsi="Times New Roman" w:cs="Times New Roman"/>
          <w:b/>
          <w:bCs/>
          <w:sz w:val="28"/>
          <w:szCs w:val="28"/>
          <w:u w:val="single"/>
        </w:rPr>
        <w:t>Travel costs</w:t>
      </w:r>
    </w:p>
    <w:p w14:paraId="0FA58C57"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(a) </w:t>
      </w:r>
      <w:r w:rsidRPr="00DA227C">
        <w:rPr>
          <w:rFonts w:ascii="Times New Roman" w:hAnsi="Times New Roman" w:cs="Times New Roman"/>
          <w:iCs/>
        </w:rPr>
        <w:t>General.</w:t>
      </w:r>
      <w:r w:rsidRPr="00DA227C">
        <w:rPr>
          <w:rFonts w:ascii="Times New Roman" w:hAnsi="Times New Roman" w:cs="Times New Roman"/>
        </w:rPr>
        <w:t> Travel costs are the expenses for transportation, lodging, subsistence, and related items incurred by employees who are in travel status on official business of the non-Federal entity. Such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in the non-Federal entity's non-federally-funded activities and in accordance with non-Federal entity's written travel reimbursement policies. Notwithstanding the provisions of §200.444 General costs of government, travel costs of officials covered by that section are allowable with the prior written approval of the Federal awarding agency or pass-through entity when they are specifically related to the Federal award.</w:t>
      </w:r>
    </w:p>
    <w:p w14:paraId="5D05B1A8"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(b) </w:t>
      </w:r>
      <w:r w:rsidRPr="00DA227C">
        <w:rPr>
          <w:rFonts w:ascii="Times New Roman" w:hAnsi="Times New Roman" w:cs="Times New Roman"/>
          <w:iCs/>
        </w:rPr>
        <w:t>Lodging and subsistence.</w:t>
      </w:r>
      <w:r w:rsidRPr="00DA227C">
        <w:rPr>
          <w:rFonts w:ascii="Times New Roman" w:hAnsi="Times New Roman" w:cs="Times New Roman"/>
        </w:rPr>
        <w:t> Costs incurred by employees and officers for travel, including costs of lodging, other subsistence, and incidental expenses, must be considered reasonable and otherwise allowable only to the extent such costs do not exceed charges normally allowed by the non-Federal entity in its regular operations as the result of the non-Federal entity's written travel policy. In addition, if these costs are charged directly to the Federal award documentation must justify that:</w:t>
      </w:r>
    </w:p>
    <w:p w14:paraId="3E7D61E2"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(1) Participation of the individual is necessary to the Federal award; and</w:t>
      </w:r>
    </w:p>
    <w:p w14:paraId="6B20EB7F"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(2) The costs are reasonable and consistent with non-Federal entity's established travel policy.</w:t>
      </w:r>
    </w:p>
    <w:p w14:paraId="68F76384"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(c)(1) Temporary dependent care costs (as dependent is defined in 26 U.S.C. 152) above and beyond regular dependent care that directly results from travel to conferences is allowable provided that:</w:t>
      </w:r>
    </w:p>
    <w:p w14:paraId="75B1ACDF"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w:t>
      </w:r>
      <w:proofErr w:type="spellStart"/>
      <w:r w:rsidRPr="00DA227C">
        <w:rPr>
          <w:rFonts w:ascii="Times New Roman" w:hAnsi="Times New Roman" w:cs="Times New Roman"/>
        </w:rPr>
        <w:t>i</w:t>
      </w:r>
      <w:proofErr w:type="spellEnd"/>
      <w:r w:rsidRPr="00DA227C">
        <w:rPr>
          <w:rFonts w:ascii="Times New Roman" w:hAnsi="Times New Roman" w:cs="Times New Roman"/>
        </w:rPr>
        <w:t xml:space="preserve">) The costs are a direct result of the individual's travel for the Federal </w:t>
      </w:r>
      <w:proofErr w:type="gramStart"/>
      <w:r w:rsidRPr="00DA227C">
        <w:rPr>
          <w:rFonts w:ascii="Times New Roman" w:hAnsi="Times New Roman" w:cs="Times New Roman"/>
        </w:rPr>
        <w:t>award;</w:t>
      </w:r>
      <w:proofErr w:type="gramEnd"/>
    </w:p>
    <w:p w14:paraId="3C41D2C2"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(ii) The costs are consistent with the non-Federal entity's documented travel policy for all entity travel; and</w:t>
      </w:r>
    </w:p>
    <w:p w14:paraId="443F3E1C"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(iii) Are only temporary during the travel period.</w:t>
      </w:r>
    </w:p>
    <w:p w14:paraId="493E85A6"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(2) Travel costs for dependents are unallowable, except for travel of duration of six months or more with prior approval of the Federal awarding agency. See also §200.432 Conferences.</w:t>
      </w:r>
    </w:p>
    <w:p w14:paraId="7E9A0419"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(d) In the absence of an acceptable, written non-Federal entity policy regarding travel costs, the rates and amounts established under 5 U.S.C. 5701-11, (“Travel and Subsistence Expenses; Mileage Allowances”), or by the Administrator of General Services, or by the President (or his or her designee) pursuant to any provisions of such subchapter must apply to travel under Federal awards (48 CFR 31.205-46(a)).</w:t>
      </w:r>
    </w:p>
    <w:p w14:paraId="759C2844"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(e) </w:t>
      </w:r>
      <w:r w:rsidRPr="00DA227C">
        <w:rPr>
          <w:rFonts w:ascii="Times New Roman" w:hAnsi="Times New Roman" w:cs="Times New Roman"/>
          <w:iCs/>
        </w:rPr>
        <w:t>Commercial air travel.</w:t>
      </w:r>
      <w:r w:rsidRPr="00DA227C">
        <w:rPr>
          <w:rFonts w:ascii="Times New Roman" w:hAnsi="Times New Roman" w:cs="Times New Roman"/>
        </w:rPr>
        <w:t xml:space="preserve"> (1) Airfare costs </w:t>
      </w:r>
      <w:proofErr w:type="gramStart"/>
      <w:r w:rsidRPr="00DA227C">
        <w:rPr>
          <w:rFonts w:ascii="Times New Roman" w:hAnsi="Times New Roman" w:cs="Times New Roman"/>
        </w:rPr>
        <w:t>in excess of</w:t>
      </w:r>
      <w:proofErr w:type="gramEnd"/>
      <w:r w:rsidRPr="00DA227C">
        <w:rPr>
          <w:rFonts w:ascii="Times New Roman" w:hAnsi="Times New Roman" w:cs="Times New Roman"/>
        </w:rPr>
        <w:t xml:space="preserve"> the basic least expensive unrestricted accommodations class offered by commercial airlines are unallowable except when such accommodations would:</w:t>
      </w:r>
    </w:p>
    <w:p w14:paraId="02C1BC35"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w:t>
      </w:r>
      <w:proofErr w:type="spellStart"/>
      <w:r w:rsidRPr="00DA227C">
        <w:rPr>
          <w:rFonts w:ascii="Times New Roman" w:hAnsi="Times New Roman" w:cs="Times New Roman"/>
        </w:rPr>
        <w:t>i</w:t>
      </w:r>
      <w:proofErr w:type="spellEnd"/>
      <w:r w:rsidRPr="00DA227C">
        <w:rPr>
          <w:rFonts w:ascii="Times New Roman" w:hAnsi="Times New Roman" w:cs="Times New Roman"/>
        </w:rPr>
        <w:t xml:space="preserve">) Require circuitous </w:t>
      </w:r>
      <w:proofErr w:type="gramStart"/>
      <w:r w:rsidRPr="00DA227C">
        <w:rPr>
          <w:rFonts w:ascii="Times New Roman" w:hAnsi="Times New Roman" w:cs="Times New Roman"/>
        </w:rPr>
        <w:t>routing;</w:t>
      </w:r>
      <w:proofErr w:type="gramEnd"/>
    </w:p>
    <w:p w14:paraId="5D5DE856"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lastRenderedPageBreak/>
        <w:t xml:space="preserve">(ii) Require travel during unreasonable </w:t>
      </w:r>
      <w:proofErr w:type="gramStart"/>
      <w:r w:rsidRPr="00DA227C">
        <w:rPr>
          <w:rFonts w:ascii="Times New Roman" w:hAnsi="Times New Roman" w:cs="Times New Roman"/>
        </w:rPr>
        <w:t>hours;</w:t>
      </w:r>
      <w:proofErr w:type="gramEnd"/>
    </w:p>
    <w:p w14:paraId="76A71617"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 xml:space="preserve">(iii) Excessively prolong </w:t>
      </w:r>
      <w:proofErr w:type="gramStart"/>
      <w:r w:rsidRPr="00DA227C">
        <w:rPr>
          <w:rFonts w:ascii="Times New Roman" w:hAnsi="Times New Roman" w:cs="Times New Roman"/>
        </w:rPr>
        <w:t>travel;</w:t>
      </w:r>
      <w:proofErr w:type="gramEnd"/>
    </w:p>
    <w:p w14:paraId="030761F3"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(iv) Result in additional costs that would offset the transportation savings; or</w:t>
      </w:r>
    </w:p>
    <w:p w14:paraId="4D4568D7"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 xml:space="preserve">(v) Offer accommodations not reasonably adequate for the traveler's medical needs. The non-Federal entity must justify and document these conditions on a case-by-case basis </w:t>
      </w:r>
      <w:proofErr w:type="gramStart"/>
      <w:r w:rsidRPr="00DA227C">
        <w:rPr>
          <w:rFonts w:ascii="Times New Roman" w:hAnsi="Times New Roman" w:cs="Times New Roman"/>
        </w:rPr>
        <w:t>in order for</w:t>
      </w:r>
      <w:proofErr w:type="gramEnd"/>
      <w:r w:rsidRPr="00DA227C">
        <w:rPr>
          <w:rFonts w:ascii="Times New Roman" w:hAnsi="Times New Roman" w:cs="Times New Roman"/>
        </w:rPr>
        <w:t xml:space="preserve"> the use of first-class or business-class airfare to be allowable in such cases.</w:t>
      </w:r>
    </w:p>
    <w:p w14:paraId="7AD3D779"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(2) Unless a pattern of avoidance is detected, the Federal Government will generally not question a non-Federal entity's determinations that customary standard airfare or other discount airfare is unavailable for specific trips if the non-Federal entity can demonstrate that such airfare was not available in the specific case.</w:t>
      </w:r>
    </w:p>
    <w:p w14:paraId="2BFE25DC" w14:textId="77777777" w:rsidR="00DA227C" w:rsidRPr="00FD2632"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i/>
        </w:rPr>
      </w:pPr>
      <w:r w:rsidRPr="00DA227C">
        <w:rPr>
          <w:rFonts w:ascii="Times New Roman" w:hAnsi="Times New Roman" w:cs="Times New Roman"/>
        </w:rPr>
        <w:t>(f) </w:t>
      </w:r>
      <w:r w:rsidRPr="00DA227C">
        <w:rPr>
          <w:rFonts w:ascii="Times New Roman" w:hAnsi="Times New Roman" w:cs="Times New Roman"/>
          <w:iCs/>
        </w:rPr>
        <w:t>Air travel by other than commercial carrier.</w:t>
      </w:r>
      <w:r w:rsidRPr="00DA227C">
        <w:rPr>
          <w:rFonts w:ascii="Times New Roman" w:hAnsi="Times New Roman" w:cs="Times New Roman"/>
        </w:rPr>
        <w:t> Costs of travel by non-Federal entity-owned, -leased, or -chartered aircraft include the cost of lease, charter, operation (including personnel costs), maintenance, depreciation, insurance, and other related costs. The portion of such costs that exceeds the cost of airfare as provided for in paragraph (d) of this section, is unallowable.</w:t>
      </w:r>
    </w:p>
    <w:sectPr w:rsidR="00DA227C" w:rsidRPr="00FD26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D5B9" w14:textId="77777777" w:rsidR="00E276D4" w:rsidRDefault="00E276D4" w:rsidP="00D311B6">
      <w:pPr>
        <w:spacing w:after="0" w:line="240" w:lineRule="auto"/>
      </w:pPr>
      <w:r>
        <w:separator/>
      </w:r>
    </w:p>
  </w:endnote>
  <w:endnote w:type="continuationSeparator" w:id="0">
    <w:p w14:paraId="70F54C60" w14:textId="77777777" w:rsidR="00E276D4" w:rsidRDefault="00E276D4" w:rsidP="00D3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79B4" w14:textId="77777777" w:rsidR="00E276D4" w:rsidRDefault="00E276D4" w:rsidP="00D311B6">
      <w:pPr>
        <w:spacing w:after="0" w:line="240" w:lineRule="auto"/>
      </w:pPr>
      <w:r>
        <w:separator/>
      </w:r>
    </w:p>
  </w:footnote>
  <w:footnote w:type="continuationSeparator" w:id="0">
    <w:p w14:paraId="232C5EBF" w14:textId="77777777" w:rsidR="00E276D4" w:rsidRDefault="00E276D4" w:rsidP="00D31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01B7" w14:textId="77777777" w:rsidR="00D311B6" w:rsidRPr="00D311B6" w:rsidRDefault="00D311B6" w:rsidP="00D311B6">
    <w:pPr>
      <w:pStyle w:val="Header"/>
      <w:jc w:val="center"/>
      <w:rPr>
        <w:rFonts w:ascii="Times New Roman" w:hAnsi="Times New Roman" w:cs="Times New Roman"/>
        <w:sz w:val="20"/>
        <w:szCs w:val="20"/>
      </w:rPr>
    </w:pPr>
    <w:r w:rsidRPr="00D311B6">
      <w:rPr>
        <w:rFonts w:ascii="Times New Roman" w:hAnsi="Times New Roman" w:cs="Times New Roman"/>
        <w:sz w:val="20"/>
        <w:szCs w:val="20"/>
      </w:rPr>
      <w:t>ILLINOIS COMMUNITY COLLEGE BOARD</w:t>
    </w:r>
  </w:p>
  <w:p w14:paraId="2A3594A3" w14:textId="3EFB85F0" w:rsidR="00D311B6" w:rsidRPr="00910B97" w:rsidRDefault="00D311B6" w:rsidP="00D311B6">
    <w:pPr>
      <w:pStyle w:val="Header"/>
      <w:jc w:val="center"/>
      <w:rPr>
        <w:rFonts w:ascii="Times New Roman" w:hAnsi="Times New Roman" w:cs="Times New Roman"/>
        <w:sz w:val="32"/>
        <w:szCs w:val="32"/>
      </w:rPr>
    </w:pPr>
    <w:r w:rsidRPr="00910B97">
      <w:rPr>
        <w:rFonts w:ascii="Times New Roman" w:hAnsi="Times New Roman" w:cs="Times New Roman"/>
        <w:sz w:val="32"/>
        <w:szCs w:val="32"/>
      </w:rPr>
      <w:t xml:space="preserve">FY </w:t>
    </w:r>
    <w:r w:rsidR="002662AD">
      <w:rPr>
        <w:rFonts w:ascii="Times New Roman" w:hAnsi="Times New Roman" w:cs="Times New Roman"/>
        <w:sz w:val="32"/>
        <w:szCs w:val="32"/>
      </w:rPr>
      <w:t>202</w:t>
    </w:r>
    <w:r w:rsidR="008345C2">
      <w:rPr>
        <w:rFonts w:ascii="Times New Roman" w:hAnsi="Times New Roman" w:cs="Times New Roman"/>
        <w:sz w:val="32"/>
        <w:szCs w:val="32"/>
      </w:rPr>
      <w:t>5</w:t>
    </w:r>
    <w:r w:rsidRPr="00910B97">
      <w:rPr>
        <w:rFonts w:ascii="Times New Roman" w:hAnsi="Times New Roman" w:cs="Times New Roman"/>
        <w:sz w:val="32"/>
        <w:szCs w:val="32"/>
      </w:rPr>
      <w:t xml:space="preserve"> Out of State Travel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B6"/>
    <w:rsid w:val="00024070"/>
    <w:rsid w:val="001257F2"/>
    <w:rsid w:val="001517CC"/>
    <w:rsid w:val="0021103B"/>
    <w:rsid w:val="002662AD"/>
    <w:rsid w:val="00325A34"/>
    <w:rsid w:val="00372267"/>
    <w:rsid w:val="003770C6"/>
    <w:rsid w:val="00390205"/>
    <w:rsid w:val="003B1816"/>
    <w:rsid w:val="004B0831"/>
    <w:rsid w:val="007653FD"/>
    <w:rsid w:val="007942A1"/>
    <w:rsid w:val="008345C2"/>
    <w:rsid w:val="00876E42"/>
    <w:rsid w:val="00893DB9"/>
    <w:rsid w:val="008B290D"/>
    <w:rsid w:val="008B50BB"/>
    <w:rsid w:val="00905BC3"/>
    <w:rsid w:val="00910B97"/>
    <w:rsid w:val="00996CB6"/>
    <w:rsid w:val="00A20301"/>
    <w:rsid w:val="00AF1885"/>
    <w:rsid w:val="00B02BC9"/>
    <w:rsid w:val="00B453A3"/>
    <w:rsid w:val="00C56CDC"/>
    <w:rsid w:val="00CE6E41"/>
    <w:rsid w:val="00D11300"/>
    <w:rsid w:val="00D16EA9"/>
    <w:rsid w:val="00D311B6"/>
    <w:rsid w:val="00D5127E"/>
    <w:rsid w:val="00D66CDF"/>
    <w:rsid w:val="00DA227C"/>
    <w:rsid w:val="00DA6099"/>
    <w:rsid w:val="00DF7E1C"/>
    <w:rsid w:val="00E276D4"/>
    <w:rsid w:val="00E50E72"/>
    <w:rsid w:val="00E67D7E"/>
    <w:rsid w:val="00E7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BE52"/>
  <w15:docId w15:val="{16D5FD71-9325-4177-885D-78911592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B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11B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311B6"/>
    <w:rPr>
      <w:color w:val="0000FF" w:themeColor="hyperlink"/>
      <w:u w:val="single"/>
    </w:rPr>
  </w:style>
  <w:style w:type="paragraph" w:styleId="Header">
    <w:name w:val="header"/>
    <w:basedOn w:val="Normal"/>
    <w:link w:val="HeaderChar"/>
    <w:uiPriority w:val="99"/>
    <w:unhideWhenUsed/>
    <w:rsid w:val="00D3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1B6"/>
    <w:rPr>
      <w:rFonts w:eastAsiaTheme="minorEastAsia"/>
    </w:rPr>
  </w:style>
  <w:style w:type="paragraph" w:styleId="Footer">
    <w:name w:val="footer"/>
    <w:basedOn w:val="Normal"/>
    <w:link w:val="FooterChar"/>
    <w:uiPriority w:val="99"/>
    <w:unhideWhenUsed/>
    <w:rsid w:val="00D3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1B6"/>
    <w:rPr>
      <w:rFonts w:eastAsiaTheme="minorEastAsia"/>
    </w:rPr>
  </w:style>
  <w:style w:type="character" w:styleId="FollowedHyperlink">
    <w:name w:val="FollowedHyperlink"/>
    <w:basedOn w:val="DefaultParagraphFont"/>
    <w:uiPriority w:val="99"/>
    <w:semiHidden/>
    <w:unhideWhenUsed/>
    <w:rsid w:val="00DA227C"/>
    <w:rPr>
      <w:color w:val="800080" w:themeColor="followedHyperlink"/>
      <w:u w:val="single"/>
    </w:rPr>
  </w:style>
  <w:style w:type="character" w:styleId="UnresolvedMention">
    <w:name w:val="Unresolved Mention"/>
    <w:basedOn w:val="DefaultParagraphFont"/>
    <w:uiPriority w:val="99"/>
    <w:semiHidden/>
    <w:unhideWhenUsed/>
    <w:rsid w:val="00AF1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5929">
      <w:bodyDiv w:val="1"/>
      <w:marLeft w:val="0"/>
      <w:marRight w:val="0"/>
      <w:marTop w:val="0"/>
      <w:marBottom w:val="0"/>
      <w:divBdr>
        <w:top w:val="none" w:sz="0" w:space="0" w:color="auto"/>
        <w:left w:val="none" w:sz="0" w:space="0" w:color="auto"/>
        <w:bottom w:val="none" w:sz="0" w:space="0" w:color="auto"/>
        <w:right w:val="none" w:sz="0" w:space="0" w:color="auto"/>
      </w:divBdr>
    </w:div>
    <w:div w:id="1626888517">
      <w:bodyDiv w:val="1"/>
      <w:marLeft w:val="0"/>
      <w:marRight w:val="0"/>
      <w:marTop w:val="0"/>
      <w:marBottom w:val="0"/>
      <w:divBdr>
        <w:top w:val="none" w:sz="0" w:space="0" w:color="auto"/>
        <w:left w:val="none" w:sz="0" w:space="0" w:color="auto"/>
        <w:bottom w:val="none" w:sz="0" w:space="0" w:color="auto"/>
        <w:right w:val="none" w:sz="0" w:space="0" w:color="auto"/>
      </w:divBdr>
      <w:divsChild>
        <w:div w:id="675422590">
          <w:marLeft w:val="0"/>
          <w:marRight w:val="0"/>
          <w:marTop w:val="0"/>
          <w:marBottom w:val="0"/>
          <w:divBdr>
            <w:top w:val="none" w:sz="0" w:space="0" w:color="auto"/>
            <w:left w:val="none" w:sz="0" w:space="0" w:color="auto"/>
            <w:bottom w:val="none" w:sz="0" w:space="0" w:color="auto"/>
            <w:right w:val="none" w:sz="0" w:space="0" w:color="auto"/>
          </w:divBdr>
          <w:divsChild>
            <w:div w:id="1751342805">
              <w:marLeft w:val="0"/>
              <w:marRight w:val="0"/>
              <w:marTop w:val="0"/>
              <w:marBottom w:val="0"/>
              <w:divBdr>
                <w:top w:val="none" w:sz="0" w:space="0" w:color="auto"/>
                <w:left w:val="none" w:sz="0" w:space="0" w:color="auto"/>
                <w:bottom w:val="none" w:sz="0" w:space="0" w:color="auto"/>
                <w:right w:val="none" w:sz="0" w:space="0" w:color="auto"/>
              </w:divBdr>
              <w:divsChild>
                <w:div w:id="96995785">
                  <w:marLeft w:val="0"/>
                  <w:marRight w:val="0"/>
                  <w:marTop w:val="0"/>
                  <w:marBottom w:val="0"/>
                  <w:divBdr>
                    <w:top w:val="none" w:sz="0" w:space="0" w:color="auto"/>
                    <w:left w:val="none" w:sz="0" w:space="0" w:color="auto"/>
                    <w:bottom w:val="none" w:sz="0" w:space="0" w:color="auto"/>
                    <w:right w:val="none" w:sz="0" w:space="0" w:color="auto"/>
                  </w:divBdr>
                  <w:divsChild>
                    <w:div w:id="1549032415">
                      <w:marLeft w:val="0"/>
                      <w:marRight w:val="0"/>
                      <w:marTop w:val="0"/>
                      <w:marBottom w:val="0"/>
                      <w:divBdr>
                        <w:top w:val="none" w:sz="0" w:space="0" w:color="auto"/>
                        <w:left w:val="none" w:sz="0" w:space="0" w:color="auto"/>
                        <w:bottom w:val="none" w:sz="0" w:space="0" w:color="auto"/>
                        <w:right w:val="none" w:sz="0" w:space="0" w:color="auto"/>
                      </w:divBdr>
                      <w:divsChild>
                        <w:div w:id="116415964">
                          <w:marLeft w:val="0"/>
                          <w:marRight w:val="0"/>
                          <w:marTop w:val="0"/>
                          <w:marBottom w:val="0"/>
                          <w:divBdr>
                            <w:top w:val="none" w:sz="0" w:space="0" w:color="auto"/>
                            <w:left w:val="none" w:sz="0" w:space="0" w:color="auto"/>
                            <w:bottom w:val="none" w:sz="0" w:space="0" w:color="auto"/>
                            <w:right w:val="none" w:sz="0" w:space="0" w:color="auto"/>
                          </w:divBdr>
                        </w:div>
                      </w:divsChild>
                    </w:div>
                    <w:div w:id="7517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7786">
          <w:marLeft w:val="0"/>
          <w:marRight w:val="0"/>
          <w:marTop w:val="0"/>
          <w:marBottom w:val="0"/>
          <w:divBdr>
            <w:top w:val="none" w:sz="0" w:space="0" w:color="auto"/>
            <w:left w:val="none" w:sz="0" w:space="0" w:color="auto"/>
            <w:bottom w:val="none" w:sz="0" w:space="0" w:color="auto"/>
            <w:right w:val="none" w:sz="0" w:space="0" w:color="auto"/>
          </w:divBdr>
          <w:divsChild>
            <w:div w:id="1825125049">
              <w:marLeft w:val="0"/>
              <w:marRight w:val="0"/>
              <w:marTop w:val="0"/>
              <w:marBottom w:val="0"/>
              <w:divBdr>
                <w:top w:val="none" w:sz="0" w:space="0" w:color="auto"/>
                <w:left w:val="none" w:sz="0" w:space="0" w:color="auto"/>
                <w:bottom w:val="none" w:sz="0" w:space="0" w:color="auto"/>
                <w:right w:val="none" w:sz="0" w:space="0" w:color="auto"/>
              </w:divBdr>
            </w:div>
            <w:div w:id="2041927589">
              <w:marLeft w:val="0"/>
              <w:marRight w:val="0"/>
              <w:marTop w:val="0"/>
              <w:marBottom w:val="0"/>
              <w:divBdr>
                <w:top w:val="none" w:sz="0" w:space="0" w:color="auto"/>
                <w:left w:val="none" w:sz="0" w:space="0" w:color="auto"/>
                <w:bottom w:val="none" w:sz="0" w:space="0" w:color="auto"/>
                <w:right w:val="none" w:sz="0" w:space="0" w:color="auto"/>
              </w:divBdr>
            </w:div>
          </w:divsChild>
        </w:div>
        <w:div w:id="2074574214">
          <w:marLeft w:val="0"/>
          <w:marRight w:val="0"/>
          <w:marTop w:val="0"/>
          <w:marBottom w:val="0"/>
          <w:divBdr>
            <w:top w:val="none" w:sz="0" w:space="0" w:color="auto"/>
            <w:left w:val="none" w:sz="0" w:space="0" w:color="auto"/>
            <w:bottom w:val="none" w:sz="0" w:space="0" w:color="auto"/>
            <w:right w:val="none" w:sz="0" w:space="0" w:color="auto"/>
          </w:divBdr>
          <w:divsChild>
            <w:div w:id="254637735">
              <w:marLeft w:val="0"/>
              <w:marRight w:val="0"/>
              <w:marTop w:val="0"/>
              <w:marBottom w:val="0"/>
              <w:divBdr>
                <w:top w:val="none" w:sz="0" w:space="0" w:color="auto"/>
                <w:left w:val="none" w:sz="0" w:space="0" w:color="auto"/>
                <w:bottom w:val="none" w:sz="0" w:space="0" w:color="auto"/>
                <w:right w:val="none" w:sz="0" w:space="0" w:color="auto"/>
              </w:divBdr>
              <w:divsChild>
                <w:div w:id="565799972">
                  <w:marLeft w:val="0"/>
                  <w:marRight w:val="0"/>
                  <w:marTop w:val="0"/>
                  <w:marBottom w:val="0"/>
                  <w:divBdr>
                    <w:top w:val="none" w:sz="0" w:space="0" w:color="auto"/>
                    <w:left w:val="none" w:sz="0" w:space="0" w:color="auto"/>
                    <w:bottom w:val="none" w:sz="0" w:space="0" w:color="auto"/>
                    <w:right w:val="none" w:sz="0" w:space="0" w:color="auto"/>
                  </w:divBdr>
                </w:div>
                <w:div w:id="1111977724">
                  <w:marLeft w:val="0"/>
                  <w:marRight w:val="0"/>
                  <w:marTop w:val="0"/>
                  <w:marBottom w:val="0"/>
                  <w:divBdr>
                    <w:top w:val="none" w:sz="0" w:space="0" w:color="auto"/>
                    <w:left w:val="none" w:sz="0" w:space="0" w:color="auto"/>
                    <w:bottom w:val="none" w:sz="0" w:space="0" w:color="auto"/>
                    <w:right w:val="none" w:sz="0" w:space="0" w:color="auto"/>
                  </w:divBdr>
                </w:div>
                <w:div w:id="1393967923">
                  <w:marLeft w:val="0"/>
                  <w:marRight w:val="0"/>
                  <w:marTop w:val="0"/>
                  <w:marBottom w:val="0"/>
                  <w:divBdr>
                    <w:top w:val="none" w:sz="0" w:space="0" w:color="auto"/>
                    <w:left w:val="none" w:sz="0" w:space="0" w:color="auto"/>
                    <w:bottom w:val="none" w:sz="0" w:space="0" w:color="auto"/>
                    <w:right w:val="none" w:sz="0" w:space="0" w:color="auto"/>
                  </w:divBdr>
                </w:div>
              </w:divsChild>
            </w:div>
            <w:div w:id="380058648">
              <w:marLeft w:val="0"/>
              <w:marRight w:val="0"/>
              <w:marTop w:val="0"/>
              <w:marBottom w:val="0"/>
              <w:divBdr>
                <w:top w:val="none" w:sz="0" w:space="0" w:color="auto"/>
                <w:left w:val="none" w:sz="0" w:space="0" w:color="auto"/>
                <w:bottom w:val="none" w:sz="0" w:space="0" w:color="auto"/>
                <w:right w:val="none" w:sz="0" w:space="0" w:color="auto"/>
              </w:divBdr>
            </w:div>
          </w:divsChild>
        </w:div>
        <w:div w:id="685904688">
          <w:marLeft w:val="0"/>
          <w:marRight w:val="0"/>
          <w:marTop w:val="0"/>
          <w:marBottom w:val="0"/>
          <w:divBdr>
            <w:top w:val="none" w:sz="0" w:space="0" w:color="auto"/>
            <w:left w:val="none" w:sz="0" w:space="0" w:color="auto"/>
            <w:bottom w:val="none" w:sz="0" w:space="0" w:color="auto"/>
            <w:right w:val="none" w:sz="0" w:space="0" w:color="auto"/>
          </w:divBdr>
        </w:div>
        <w:div w:id="796532010">
          <w:marLeft w:val="0"/>
          <w:marRight w:val="0"/>
          <w:marTop w:val="0"/>
          <w:marBottom w:val="0"/>
          <w:divBdr>
            <w:top w:val="none" w:sz="0" w:space="0" w:color="auto"/>
            <w:left w:val="none" w:sz="0" w:space="0" w:color="auto"/>
            <w:bottom w:val="none" w:sz="0" w:space="0" w:color="auto"/>
            <w:right w:val="none" w:sz="0" w:space="0" w:color="auto"/>
          </w:divBdr>
          <w:divsChild>
            <w:div w:id="486674357">
              <w:marLeft w:val="0"/>
              <w:marRight w:val="0"/>
              <w:marTop w:val="0"/>
              <w:marBottom w:val="0"/>
              <w:divBdr>
                <w:top w:val="none" w:sz="0" w:space="0" w:color="auto"/>
                <w:left w:val="none" w:sz="0" w:space="0" w:color="auto"/>
                <w:bottom w:val="none" w:sz="0" w:space="0" w:color="auto"/>
                <w:right w:val="none" w:sz="0" w:space="0" w:color="auto"/>
              </w:divBdr>
              <w:divsChild>
                <w:div w:id="903107676">
                  <w:marLeft w:val="0"/>
                  <w:marRight w:val="0"/>
                  <w:marTop w:val="0"/>
                  <w:marBottom w:val="0"/>
                  <w:divBdr>
                    <w:top w:val="none" w:sz="0" w:space="0" w:color="auto"/>
                    <w:left w:val="none" w:sz="0" w:space="0" w:color="auto"/>
                    <w:bottom w:val="none" w:sz="0" w:space="0" w:color="auto"/>
                    <w:right w:val="none" w:sz="0" w:space="0" w:color="auto"/>
                  </w:divBdr>
                </w:div>
                <w:div w:id="1629778627">
                  <w:marLeft w:val="0"/>
                  <w:marRight w:val="0"/>
                  <w:marTop w:val="0"/>
                  <w:marBottom w:val="0"/>
                  <w:divBdr>
                    <w:top w:val="none" w:sz="0" w:space="0" w:color="auto"/>
                    <w:left w:val="none" w:sz="0" w:space="0" w:color="auto"/>
                    <w:bottom w:val="none" w:sz="0" w:space="0" w:color="auto"/>
                    <w:right w:val="none" w:sz="0" w:space="0" w:color="auto"/>
                  </w:divBdr>
                </w:div>
                <w:div w:id="1049958482">
                  <w:marLeft w:val="0"/>
                  <w:marRight w:val="0"/>
                  <w:marTop w:val="0"/>
                  <w:marBottom w:val="0"/>
                  <w:divBdr>
                    <w:top w:val="none" w:sz="0" w:space="0" w:color="auto"/>
                    <w:left w:val="none" w:sz="0" w:space="0" w:color="auto"/>
                    <w:bottom w:val="none" w:sz="0" w:space="0" w:color="auto"/>
                    <w:right w:val="none" w:sz="0" w:space="0" w:color="auto"/>
                  </w:divBdr>
                </w:div>
                <w:div w:id="101385594">
                  <w:marLeft w:val="0"/>
                  <w:marRight w:val="0"/>
                  <w:marTop w:val="0"/>
                  <w:marBottom w:val="0"/>
                  <w:divBdr>
                    <w:top w:val="none" w:sz="0" w:space="0" w:color="auto"/>
                    <w:left w:val="none" w:sz="0" w:space="0" w:color="auto"/>
                    <w:bottom w:val="none" w:sz="0" w:space="0" w:color="auto"/>
                    <w:right w:val="none" w:sz="0" w:space="0" w:color="auto"/>
                  </w:divBdr>
                </w:div>
                <w:div w:id="323582391">
                  <w:marLeft w:val="0"/>
                  <w:marRight w:val="0"/>
                  <w:marTop w:val="0"/>
                  <w:marBottom w:val="0"/>
                  <w:divBdr>
                    <w:top w:val="none" w:sz="0" w:space="0" w:color="auto"/>
                    <w:left w:val="none" w:sz="0" w:space="0" w:color="auto"/>
                    <w:bottom w:val="none" w:sz="0" w:space="0" w:color="auto"/>
                    <w:right w:val="none" w:sz="0" w:space="0" w:color="auto"/>
                  </w:divBdr>
                </w:div>
              </w:divsChild>
            </w:div>
            <w:div w:id="396369263">
              <w:marLeft w:val="0"/>
              <w:marRight w:val="0"/>
              <w:marTop w:val="0"/>
              <w:marBottom w:val="0"/>
              <w:divBdr>
                <w:top w:val="none" w:sz="0" w:space="0" w:color="auto"/>
                <w:left w:val="none" w:sz="0" w:space="0" w:color="auto"/>
                <w:bottom w:val="none" w:sz="0" w:space="0" w:color="auto"/>
                <w:right w:val="none" w:sz="0" w:space="0" w:color="auto"/>
              </w:divBdr>
            </w:div>
          </w:divsChild>
        </w:div>
        <w:div w:id="188482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933</Words>
  <Characters>4979</Characters>
  <Application>Microsoft Office Word</Application>
  <DocSecurity>0</DocSecurity>
  <Lines>237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Piper</dc:creator>
  <cp:lastModifiedBy>Washington, Janelle</cp:lastModifiedBy>
  <cp:revision>2</cp:revision>
  <dcterms:created xsi:type="dcterms:W3CDTF">2024-03-15T17:57:00Z</dcterms:created>
  <dcterms:modified xsi:type="dcterms:W3CDTF">2024-03-15T17:57:00Z</dcterms:modified>
</cp:coreProperties>
</file>